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BC311">
      <w:pPr>
        <w:jc w:val="center"/>
      </w:pPr>
      <w:r>
        <w:rPr>
          <w:rFonts w:ascii="微软雅黑" w:hAnsi="微软雅黑" w:eastAsia="微软雅黑"/>
          <w:b/>
          <w:sz w:val="40"/>
        </w:rPr>
        <w:t>供应商考核披露信息</w:t>
      </w:r>
    </w:p>
    <w:p w14:paraId="7BAFB8E8">
      <w:pPr>
        <w:jc w:val="center"/>
      </w:pPr>
      <w:r>
        <w:rPr>
          <w:rFonts w:ascii="微软雅黑" w:hAnsi="微软雅黑" w:eastAsia="微软雅黑"/>
          <w:color w:val="666666"/>
          <w:sz w:val="24"/>
        </w:rPr>
        <w:t>江西爱瑞达电瓷电气有限公司 · 2025年度</w:t>
      </w:r>
    </w:p>
    <w:p w14:paraId="1ECFD6C9">
      <w:pPr>
        <w:jc w:val="both"/>
      </w:pPr>
      <w:r>
        <w:t>为落实供应链管理责任，提升供应链透明度，保障产品质量与可持续运营，本公司依据国家相关法律法规及内部管理制度，定期披露供应商考核相关信息。本披露信息报告期为2025年度（数据截至2025年12月31日），涵盖与公司建立直接供应关系的全部供应商。</w:t>
      </w:r>
    </w:p>
    <w:p w14:paraId="3F6F7CB1">
      <w:pPr>
        <w:pStyle w:val="3"/>
      </w:pPr>
      <w:r>
        <w:rPr>
          <w:rFonts w:ascii="微软雅黑" w:hAnsi="微软雅黑" w:eastAsia="微软雅黑"/>
          <w:sz w:val="28"/>
        </w:rPr>
        <w:t>一、供应商管理体系建设</w:t>
      </w:r>
    </w:p>
    <w:p w14:paraId="575FD8EA">
      <w:pPr>
        <w:jc w:val="both"/>
      </w:pPr>
      <w:r>
        <w:t>公司建立了覆盖供应商全生命周期的管理体系，依据《采购管理手册》《绿色采购制度》等内部管理文件，对供应商实施“准入—评价—考核—退出”的闭环管理。公司持续优化供应商管理流程，将质量、合规、环保（绿色采购）等要求纳入日常管理，确保供应链稳定、合规、可持续。</w:t>
      </w:r>
    </w:p>
    <w:p w14:paraId="7A537816">
      <w:pPr>
        <w:pStyle w:val="3"/>
      </w:pPr>
      <w:r>
        <w:rPr>
          <w:rFonts w:ascii="微软雅黑" w:hAnsi="微软雅黑" w:eastAsia="微软雅黑"/>
          <w:sz w:val="28"/>
        </w:rPr>
        <w:t>二、供应商准入与筛选</w:t>
      </w:r>
    </w:p>
    <w:p w14:paraId="00316A9D">
      <w:pPr>
        <w:jc w:val="both"/>
      </w:pPr>
      <w:r>
        <w:t>截至2025年底，公司纳入可合作范围的供应商共1000余家，其中超过99%为中国本地供应商，体现了供应链的本地化与韧性优势。公司严格按照内部程序文件对供应商进行评价筛选，最终与公司建立直接供应关系的供应商为123家。</w:t>
      </w:r>
    </w:p>
    <w:p w14:paraId="05C9861E">
      <w:pPr>
        <w:pStyle w:val="3"/>
      </w:pPr>
      <w:r>
        <w:rPr>
          <w:rFonts w:ascii="微软雅黑" w:hAnsi="微软雅黑" w:eastAsia="微软雅黑"/>
          <w:sz w:val="28"/>
        </w:rPr>
        <w:t>三、供应商考核评价机制</w:t>
      </w:r>
    </w:p>
    <w:p w14:paraId="15145EEA">
      <w:pPr>
        <w:jc w:val="both"/>
      </w:pPr>
      <w:r>
        <w:t>公司制定《供应商考核表》，实行百分制量化考核（满分100分）。考核围绕质量、交付、价格、服务、合规与环保等维度开展综合评价。根据评价得分，供应商划分为以下四个等级：</w:t>
      </w:r>
    </w:p>
    <w:tbl>
      <w:tblPr>
        <w:tblStyle w:val="3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2"/>
        <w:gridCol w:w="3432"/>
        <w:gridCol w:w="3432"/>
      </w:tblGrid>
      <w:tr w14:paraId="22F17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shd w:val="clear" w:color="auto" w:fill="2F5496"/>
          </w:tcPr>
          <w:p w14:paraId="2F270C29">
            <w:r>
              <w:rPr>
                <w:rFonts w:ascii="微软雅黑" w:hAnsi="微软雅黑" w:eastAsia="微软雅黑"/>
                <w:b/>
                <w:color w:val="FFFFFF"/>
              </w:rPr>
              <w:t>供应商等级</w:t>
            </w:r>
          </w:p>
        </w:tc>
        <w:tc>
          <w:tcPr>
            <w:tcW w:w="1666" w:type="pct"/>
            <w:shd w:val="clear" w:color="auto" w:fill="2F5496"/>
          </w:tcPr>
          <w:p w14:paraId="22D253B1">
            <w:r>
              <w:rPr>
                <w:rFonts w:ascii="微软雅黑" w:hAnsi="微软雅黑" w:eastAsia="微软雅黑"/>
                <w:b/>
                <w:color w:val="FFFFFF"/>
              </w:rPr>
              <w:t>评价得分</w:t>
            </w:r>
          </w:p>
        </w:tc>
        <w:tc>
          <w:tcPr>
            <w:tcW w:w="1666" w:type="pct"/>
            <w:shd w:val="clear" w:color="auto" w:fill="2F5496"/>
          </w:tcPr>
          <w:p w14:paraId="688BD71A">
            <w:r>
              <w:rPr>
                <w:rFonts w:ascii="微软雅黑" w:hAnsi="微软雅黑" w:eastAsia="微软雅黑"/>
                <w:b/>
                <w:color w:val="FFFFFF"/>
              </w:rPr>
              <w:t>管理措施</w:t>
            </w:r>
          </w:p>
        </w:tc>
      </w:tr>
      <w:tr w14:paraId="10CB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</w:tcPr>
          <w:p w14:paraId="3AC6B62D">
            <w:r>
              <w:rPr>
                <w:rFonts w:ascii="微软雅黑" w:hAnsi="微软雅黑" w:eastAsia="微软雅黑"/>
                <w:b/>
              </w:rPr>
              <w:t>低风险供应商</w:t>
            </w:r>
          </w:p>
        </w:tc>
        <w:tc>
          <w:tcPr>
            <w:tcW w:w="1666" w:type="pct"/>
          </w:tcPr>
          <w:p w14:paraId="62240A38">
            <w:r>
              <w:rPr>
                <w:rFonts w:ascii="微软雅黑" w:hAnsi="微软雅黑" w:eastAsia="微软雅黑"/>
              </w:rPr>
              <w:t>≥ 90 分</w:t>
            </w:r>
          </w:p>
        </w:tc>
        <w:tc>
          <w:tcPr>
            <w:tcW w:w="1666" w:type="pct"/>
          </w:tcPr>
          <w:p w14:paraId="5D98D47D">
            <w:r>
              <w:rPr>
                <w:rFonts w:ascii="微软雅黑" w:hAnsi="微软雅黑" w:eastAsia="微软雅黑"/>
              </w:rPr>
              <w:t>优先合作，纳入长期战略伙伴培育</w:t>
            </w:r>
          </w:p>
        </w:tc>
      </w:tr>
      <w:tr w14:paraId="26678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</w:tcPr>
          <w:p w14:paraId="5652B986">
            <w:r>
              <w:rPr>
                <w:rFonts w:ascii="微软雅黑" w:hAnsi="微软雅黑" w:eastAsia="微软雅黑"/>
                <w:b/>
              </w:rPr>
              <w:t>中风险供应商</w:t>
            </w:r>
          </w:p>
        </w:tc>
        <w:tc>
          <w:tcPr>
            <w:tcW w:w="1666" w:type="pct"/>
          </w:tcPr>
          <w:p w14:paraId="2CB8A1BB">
            <w:r>
              <w:rPr>
                <w:rFonts w:ascii="微软雅黑" w:hAnsi="微软雅黑" w:eastAsia="微软雅黑"/>
              </w:rPr>
              <w:t>80 分（含）～ 90 分</w:t>
            </w:r>
          </w:p>
        </w:tc>
        <w:tc>
          <w:tcPr>
            <w:tcW w:w="1666" w:type="pct"/>
          </w:tcPr>
          <w:p w14:paraId="623D06A5">
            <w:r>
              <w:rPr>
                <w:rFonts w:ascii="微软雅黑" w:hAnsi="微软雅黑" w:eastAsia="微软雅黑"/>
              </w:rPr>
              <w:t>保持合作，定期跟踪辅导</w:t>
            </w:r>
          </w:p>
        </w:tc>
      </w:tr>
      <w:tr w14:paraId="62ECF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</w:tcPr>
          <w:p w14:paraId="6263325C">
            <w:r>
              <w:rPr>
                <w:rFonts w:ascii="微软雅黑" w:hAnsi="微软雅黑" w:eastAsia="微软雅黑"/>
                <w:b/>
              </w:rPr>
              <w:t>高风险供应商</w:t>
            </w:r>
          </w:p>
        </w:tc>
        <w:tc>
          <w:tcPr>
            <w:tcW w:w="1666" w:type="pct"/>
          </w:tcPr>
          <w:p w14:paraId="1A911EEF">
            <w:r>
              <w:rPr>
                <w:rFonts w:ascii="微软雅黑" w:hAnsi="微软雅黑" w:eastAsia="微软雅黑"/>
              </w:rPr>
              <w:t>70 分（含）～ 80 分</w:t>
            </w:r>
          </w:p>
        </w:tc>
        <w:tc>
          <w:tcPr>
            <w:tcW w:w="1666" w:type="pct"/>
          </w:tcPr>
          <w:p w14:paraId="03E24DC8">
            <w:r>
              <w:rPr>
                <w:rFonts w:ascii="微软雅黑" w:hAnsi="微软雅黑" w:eastAsia="微软雅黑"/>
              </w:rPr>
              <w:t>限期整改，加强监督</w:t>
            </w:r>
          </w:p>
        </w:tc>
      </w:tr>
      <w:tr w14:paraId="2638A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shd w:val="clear" w:color="auto" w:fill="EDEDED"/>
          </w:tcPr>
          <w:p w14:paraId="4057498E">
            <w:r>
              <w:rPr>
                <w:rFonts w:ascii="微软雅黑" w:hAnsi="微软雅黑" w:eastAsia="微软雅黑"/>
                <w:b/>
              </w:rPr>
              <w:t>不合格供应商</w:t>
            </w:r>
          </w:p>
        </w:tc>
        <w:tc>
          <w:tcPr>
            <w:tcW w:w="1666" w:type="pct"/>
            <w:shd w:val="clear" w:color="auto" w:fill="EDEDED"/>
          </w:tcPr>
          <w:p w14:paraId="235F97EE">
            <w:r>
              <w:rPr>
                <w:rFonts w:ascii="微软雅黑" w:hAnsi="微软雅黑" w:eastAsia="微软雅黑"/>
              </w:rPr>
              <w:t>&lt; 70 分</w:t>
            </w:r>
          </w:p>
        </w:tc>
        <w:tc>
          <w:tcPr>
            <w:tcW w:w="1666" w:type="pct"/>
            <w:shd w:val="clear" w:color="auto" w:fill="EDEDED"/>
          </w:tcPr>
          <w:p w14:paraId="737072E0">
            <w:r>
              <w:rPr>
                <w:rFonts w:ascii="微软雅黑" w:hAnsi="微软雅黑" w:eastAsia="微软雅黑"/>
              </w:rPr>
              <w:t>启动淘汰退出流程</w:t>
            </w:r>
          </w:p>
        </w:tc>
      </w:tr>
    </w:tbl>
    <w:p w14:paraId="58326809">
      <w:pPr>
        <w:spacing w:after="40"/>
      </w:pPr>
    </w:p>
    <w:p w14:paraId="343717C2">
      <w:pPr>
        <w:spacing w:before="40" w:after="120"/>
      </w:pPr>
      <w:r>
        <w:rPr>
          <w:rFonts w:ascii="微软雅黑" w:hAnsi="微软雅黑" w:eastAsia="微软雅黑"/>
          <w:color w:val="808080"/>
          <w:sz w:val="19"/>
        </w:rPr>
        <w:t>考核频次：公司每年组织一次年度考核。评审结果出具后，及时向供应商反馈通知。</w:t>
      </w:r>
    </w:p>
    <w:p w14:paraId="23D75981">
      <w:pPr>
        <w:pStyle w:val="3"/>
      </w:pPr>
      <w:r>
        <w:rPr>
          <w:rFonts w:ascii="微软雅黑" w:hAnsi="微软雅黑" w:eastAsia="微软雅黑"/>
          <w:sz w:val="28"/>
        </w:rPr>
        <w:t>四、2025年度供应商考核结果</w:t>
      </w:r>
    </w:p>
    <w:p w14:paraId="5A3734D1">
      <w:pPr>
        <w:jc w:val="both"/>
      </w:pPr>
      <w:r>
        <w:t>2025年度，与公司合作的供应商共123家。经年度评价，118家供应商评价得分为100分，5家供应商评价得分在90–99分之间，全部达到低风险标准。具体分级结果如下：</w:t>
      </w:r>
    </w:p>
    <w:tbl>
      <w:tblPr>
        <w:tblStyle w:val="3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2"/>
        <w:gridCol w:w="3432"/>
        <w:gridCol w:w="3432"/>
      </w:tblGrid>
      <w:tr w14:paraId="0044B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shd w:val="clear" w:color="auto" w:fill="2F5496"/>
          </w:tcPr>
          <w:p w14:paraId="560A6318">
            <w:r>
              <w:rPr>
                <w:rFonts w:ascii="微软雅黑" w:hAnsi="微软雅黑" w:eastAsia="微软雅黑"/>
                <w:b/>
                <w:color w:val="FFFFFF"/>
              </w:rPr>
              <w:t>供应商等级</w:t>
            </w:r>
          </w:p>
        </w:tc>
        <w:tc>
          <w:tcPr>
            <w:tcW w:w="1666" w:type="pct"/>
            <w:shd w:val="clear" w:color="auto" w:fill="2F5496"/>
          </w:tcPr>
          <w:p w14:paraId="2057E85A">
            <w:r>
              <w:rPr>
                <w:rFonts w:ascii="微软雅黑" w:hAnsi="微软雅黑" w:eastAsia="微软雅黑"/>
                <w:b/>
                <w:color w:val="FFFFFF"/>
              </w:rPr>
              <w:t>供应商数量</w:t>
            </w:r>
          </w:p>
        </w:tc>
        <w:tc>
          <w:tcPr>
            <w:tcW w:w="1666" w:type="pct"/>
            <w:shd w:val="clear" w:color="auto" w:fill="2F5496"/>
          </w:tcPr>
          <w:p w14:paraId="05FDA04D">
            <w:r>
              <w:rPr>
                <w:rFonts w:ascii="微软雅黑" w:hAnsi="微软雅黑" w:eastAsia="微软雅黑"/>
                <w:b/>
                <w:color w:val="FFFFFF"/>
              </w:rPr>
              <w:t>占比</w:t>
            </w:r>
          </w:p>
        </w:tc>
      </w:tr>
      <w:tr w14:paraId="41733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</w:tcPr>
          <w:p w14:paraId="5FACF2B1">
            <w:r>
              <w:rPr>
                <w:rFonts w:ascii="微软雅黑" w:hAnsi="微软雅黑" w:eastAsia="微软雅黑"/>
                <w:b/>
              </w:rPr>
              <w:t>低风险</w:t>
            </w:r>
          </w:p>
        </w:tc>
        <w:tc>
          <w:tcPr>
            <w:tcW w:w="1666" w:type="pct"/>
          </w:tcPr>
          <w:p w14:paraId="4C6E0D4B">
            <w:r>
              <w:rPr>
                <w:rFonts w:ascii="微软雅黑" w:hAnsi="微软雅黑" w:eastAsia="微软雅黑"/>
              </w:rPr>
              <w:t>123 家</w:t>
            </w:r>
          </w:p>
        </w:tc>
        <w:tc>
          <w:tcPr>
            <w:tcW w:w="1666" w:type="pct"/>
          </w:tcPr>
          <w:p w14:paraId="40C6ACE3">
            <w:r>
              <w:rPr>
                <w:rFonts w:ascii="微软雅黑" w:hAnsi="微软雅黑" w:eastAsia="微软雅黑"/>
              </w:rPr>
              <w:t>100%</w:t>
            </w:r>
          </w:p>
        </w:tc>
      </w:tr>
      <w:tr w14:paraId="3BC7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</w:tcPr>
          <w:p w14:paraId="28B37940">
            <w:r>
              <w:rPr>
                <w:rFonts w:ascii="微软雅黑" w:hAnsi="微软雅黑" w:eastAsia="微软雅黑"/>
                <w:b/>
              </w:rPr>
              <w:t>中风险</w:t>
            </w:r>
          </w:p>
        </w:tc>
        <w:tc>
          <w:tcPr>
            <w:tcW w:w="1666" w:type="pct"/>
          </w:tcPr>
          <w:p w14:paraId="1D8430F5">
            <w:r>
              <w:rPr>
                <w:rFonts w:ascii="微软雅黑" w:hAnsi="微软雅黑" w:eastAsia="微软雅黑"/>
              </w:rPr>
              <w:t>0 家</w:t>
            </w:r>
          </w:p>
        </w:tc>
        <w:tc>
          <w:tcPr>
            <w:tcW w:w="1666" w:type="pct"/>
          </w:tcPr>
          <w:p w14:paraId="5DDA4A94">
            <w:r>
              <w:rPr>
                <w:rFonts w:ascii="微软雅黑" w:hAnsi="微软雅黑" w:eastAsia="微软雅黑"/>
              </w:rPr>
              <w:t>0%</w:t>
            </w:r>
          </w:p>
        </w:tc>
      </w:tr>
      <w:tr w14:paraId="0225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</w:tcPr>
          <w:p w14:paraId="0781B159">
            <w:r>
              <w:rPr>
                <w:rFonts w:ascii="微软雅黑" w:hAnsi="微软雅黑" w:eastAsia="微软雅黑"/>
                <w:b/>
              </w:rPr>
              <w:t>高风险</w:t>
            </w:r>
          </w:p>
        </w:tc>
        <w:tc>
          <w:tcPr>
            <w:tcW w:w="1666" w:type="pct"/>
          </w:tcPr>
          <w:p w14:paraId="63C749D6">
            <w:r>
              <w:rPr>
                <w:rFonts w:ascii="微软雅黑" w:hAnsi="微软雅黑" w:eastAsia="微软雅黑"/>
              </w:rPr>
              <w:t>0 家</w:t>
            </w:r>
          </w:p>
        </w:tc>
        <w:tc>
          <w:tcPr>
            <w:tcW w:w="1666" w:type="pct"/>
          </w:tcPr>
          <w:p w14:paraId="7A3C4DCB">
            <w:r>
              <w:rPr>
                <w:rFonts w:ascii="微软雅黑" w:hAnsi="微软雅黑" w:eastAsia="微软雅黑"/>
              </w:rPr>
              <w:t>0%</w:t>
            </w:r>
          </w:p>
        </w:tc>
      </w:tr>
      <w:tr w14:paraId="0F2C8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</w:tcPr>
          <w:p w14:paraId="71BD1512">
            <w:r>
              <w:rPr>
                <w:rFonts w:ascii="微软雅黑" w:hAnsi="微软雅黑" w:eastAsia="微软雅黑"/>
                <w:b/>
              </w:rPr>
              <w:t>不合格</w:t>
            </w:r>
          </w:p>
        </w:tc>
        <w:tc>
          <w:tcPr>
            <w:tcW w:w="1666" w:type="pct"/>
          </w:tcPr>
          <w:p w14:paraId="6CF0838E">
            <w:r>
              <w:rPr>
                <w:rFonts w:ascii="微软雅黑" w:hAnsi="微软雅黑" w:eastAsia="微软雅黑"/>
              </w:rPr>
              <w:t>0 家</w:t>
            </w:r>
          </w:p>
        </w:tc>
        <w:tc>
          <w:tcPr>
            <w:tcW w:w="1666" w:type="pct"/>
          </w:tcPr>
          <w:p w14:paraId="3DEDE687">
            <w:r>
              <w:rPr>
                <w:rFonts w:ascii="微软雅黑" w:hAnsi="微软雅黑" w:eastAsia="微软雅黑"/>
              </w:rPr>
              <w:t>0%</w:t>
            </w:r>
          </w:p>
        </w:tc>
      </w:tr>
      <w:tr w14:paraId="0ACE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6" w:type="pct"/>
            <w:shd w:val="clear" w:color="auto" w:fill="EDEDED"/>
          </w:tcPr>
          <w:p w14:paraId="219B92D9">
            <w:r>
              <w:rPr>
                <w:rFonts w:ascii="微软雅黑" w:hAnsi="微软雅黑" w:eastAsia="微软雅黑"/>
                <w:b/>
              </w:rPr>
              <w:t>合计</w:t>
            </w:r>
          </w:p>
        </w:tc>
        <w:tc>
          <w:tcPr>
            <w:tcW w:w="1666" w:type="pct"/>
            <w:shd w:val="clear" w:color="auto" w:fill="EDEDED"/>
          </w:tcPr>
          <w:p w14:paraId="595C5718">
            <w:r>
              <w:rPr>
                <w:rFonts w:ascii="微软雅黑" w:hAnsi="微软雅黑" w:eastAsia="微软雅黑"/>
              </w:rPr>
              <w:t>123 家</w:t>
            </w:r>
          </w:p>
        </w:tc>
        <w:tc>
          <w:tcPr>
            <w:tcW w:w="1666" w:type="pct"/>
            <w:shd w:val="clear" w:color="auto" w:fill="EDEDED"/>
          </w:tcPr>
          <w:p w14:paraId="4D96DD2B">
            <w:r>
              <w:rPr>
                <w:rFonts w:ascii="微软雅黑" w:hAnsi="微软雅黑" w:eastAsia="微软雅黑"/>
              </w:rPr>
              <w:t>100%</w:t>
            </w:r>
          </w:p>
        </w:tc>
      </w:tr>
    </w:tbl>
    <w:p w14:paraId="4B4C0929">
      <w:pPr>
        <w:spacing w:after="40"/>
      </w:pPr>
    </w:p>
    <w:p w14:paraId="3B10B467">
      <w:pPr>
        <w:spacing w:before="40" w:after="120"/>
      </w:pPr>
      <w:r>
        <w:rPr>
          <w:rFonts w:ascii="微软雅黑" w:hAnsi="微软雅黑" w:eastAsia="微软雅黑"/>
          <w:color w:val="808080"/>
          <w:sz w:val="19"/>
        </w:rPr>
        <w:t>2025年度低风险供应商占比100%，公司供应链整体质量与合规水平良好。</w:t>
      </w:r>
    </w:p>
    <w:p w14:paraId="334FAB95">
      <w:pPr>
        <w:pStyle w:val="3"/>
      </w:pPr>
      <w:r>
        <w:rPr>
          <w:rFonts w:ascii="微软雅黑" w:hAnsi="微软雅黑" w:eastAsia="微软雅黑"/>
          <w:sz w:val="28"/>
        </w:rPr>
        <w:t>五、供应商合作与共同发展</w:t>
      </w:r>
    </w:p>
    <w:p w14:paraId="1406BD05">
      <w:pPr>
        <w:jc w:val="both"/>
      </w:pPr>
      <w:r>
        <w:t>公司与供应商建立了长期稳定的合作关系。合格供方大部分为公司长期合作伙伴，双方在互惠互利基础上实现了友好协同。公司重视供应链能力建设，通过考核结果反馈、定期沟通与交流等方式，与供应商共同提升产品质量与管理水平。</w:t>
      </w:r>
    </w:p>
    <w:p w14:paraId="399C1A14">
      <w:pPr>
        <w:pStyle w:val="3"/>
      </w:pPr>
      <w:r>
        <w:rPr>
          <w:rFonts w:ascii="微软雅黑" w:hAnsi="微软雅黑" w:eastAsia="微软雅黑"/>
          <w:sz w:val="28"/>
        </w:rPr>
        <w:t>六、供应链风险管理与持续改进</w:t>
      </w:r>
    </w:p>
    <w:p w14:paraId="367A3523">
      <w:pPr>
        <w:jc w:val="both"/>
      </w:pPr>
      <w:r>
        <w:t>对考核评价为高风险或不合格的供应商，公司启动整改辅导或淘汰退出机制，</w:t>
      </w:r>
      <w:bookmarkStart w:id="0" w:name="_GoBack"/>
      <w:bookmarkEnd w:id="0"/>
      <w:r>
        <w:t>防范供应链风险。公司持续完善考核指标体系，强化绿色采购与合规要求，推动供应链向高质量、可持续方向发展。</w:t>
      </w:r>
    </w:p>
    <w:p w14:paraId="23CF1ABC">
      <w:pPr>
        <w:pStyle w:val="3"/>
      </w:pPr>
      <w:r>
        <w:rPr>
          <w:rFonts w:ascii="微软雅黑" w:hAnsi="微软雅黑" w:eastAsia="微软雅黑"/>
          <w:sz w:val="28"/>
        </w:rPr>
        <w:t>七、披露信息与联系方式</w:t>
      </w:r>
    </w:p>
    <w:tbl>
      <w:tblPr>
        <w:tblStyle w:val="3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8"/>
        <w:gridCol w:w="5148"/>
      </w:tblGrid>
      <w:tr w14:paraId="0259E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00" w:type="pct"/>
            <w:shd w:val="clear" w:color="auto" w:fill="2F5496"/>
          </w:tcPr>
          <w:p w14:paraId="19674BA1">
            <w:r>
              <w:rPr>
                <w:rFonts w:ascii="微软雅黑" w:hAnsi="微软雅黑" w:eastAsia="微软雅黑"/>
                <w:b/>
                <w:color w:val="FFFFFF"/>
              </w:rPr>
              <w:t>项目</w:t>
            </w:r>
          </w:p>
        </w:tc>
        <w:tc>
          <w:tcPr>
            <w:tcW w:w="2500" w:type="pct"/>
            <w:shd w:val="clear" w:color="auto" w:fill="2F5496"/>
          </w:tcPr>
          <w:p w14:paraId="1A381881">
            <w:r>
              <w:rPr>
                <w:rFonts w:ascii="微软雅黑" w:hAnsi="微软雅黑" w:eastAsia="微软雅黑"/>
                <w:b/>
                <w:color w:val="FFFFFF"/>
              </w:rPr>
              <w:t>内容</w:t>
            </w:r>
          </w:p>
        </w:tc>
      </w:tr>
      <w:tr w14:paraId="2EB1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</w:tcPr>
          <w:p w14:paraId="6E3072C5">
            <w:r>
              <w:rPr>
                <w:rFonts w:ascii="微软雅黑" w:hAnsi="微软雅黑" w:eastAsia="微软雅黑"/>
                <w:b/>
              </w:rPr>
              <w:t>披露主体</w:t>
            </w:r>
          </w:p>
        </w:tc>
        <w:tc>
          <w:tcPr>
            <w:tcW w:w="2500" w:type="pct"/>
          </w:tcPr>
          <w:p w14:paraId="53A80619">
            <w:r>
              <w:rPr>
                <w:rFonts w:ascii="微软雅黑" w:hAnsi="微软雅黑" w:eastAsia="微软雅黑"/>
              </w:rPr>
              <w:t>江西爱瑞达电瓷电气有限公司</w:t>
            </w:r>
          </w:p>
        </w:tc>
      </w:tr>
      <w:tr w14:paraId="45466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</w:tcPr>
          <w:p w14:paraId="73A66128">
            <w:r>
              <w:rPr>
                <w:rFonts w:ascii="微软雅黑" w:hAnsi="微软雅黑" w:eastAsia="微软雅黑"/>
                <w:b/>
              </w:rPr>
              <w:t>报告期</w:t>
            </w:r>
          </w:p>
        </w:tc>
        <w:tc>
          <w:tcPr>
            <w:tcW w:w="2500" w:type="pct"/>
          </w:tcPr>
          <w:p w14:paraId="7AE296E8">
            <w:r>
              <w:rPr>
                <w:rFonts w:ascii="微软雅黑" w:hAnsi="微软雅黑" w:eastAsia="微软雅黑"/>
              </w:rPr>
              <w:t>2025年度（截至2025年12月31日）</w:t>
            </w:r>
          </w:p>
        </w:tc>
      </w:tr>
      <w:tr w14:paraId="373C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</w:tcPr>
          <w:p w14:paraId="24228006">
            <w:r>
              <w:rPr>
                <w:rFonts w:ascii="微软雅黑" w:hAnsi="微软雅黑" w:eastAsia="微软雅黑"/>
                <w:b/>
              </w:rPr>
              <w:t>数据口径</w:t>
            </w:r>
          </w:p>
        </w:tc>
        <w:tc>
          <w:tcPr>
            <w:tcW w:w="2500" w:type="pct"/>
          </w:tcPr>
          <w:p w14:paraId="680BE8E8">
            <w:r>
              <w:rPr>
                <w:rFonts w:ascii="微软雅黑" w:hAnsi="微软雅黑" w:eastAsia="微软雅黑"/>
              </w:rPr>
              <w:t>与公司有直接供应关系的供应商，共123家</w:t>
            </w:r>
          </w:p>
        </w:tc>
      </w:tr>
      <w:tr w14:paraId="5D9F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</w:tcPr>
          <w:p w14:paraId="3C2CAF2D">
            <w:r>
              <w:rPr>
                <w:rFonts w:ascii="微软雅黑" w:hAnsi="微软雅黑" w:eastAsia="微软雅黑"/>
                <w:b/>
              </w:rPr>
              <w:t>联系人/部门</w:t>
            </w:r>
          </w:p>
        </w:tc>
        <w:tc>
          <w:tcPr>
            <w:tcW w:w="2500" w:type="pct"/>
          </w:tcPr>
          <w:p w14:paraId="1B134832">
            <w:r>
              <w:rPr>
                <w:rFonts w:ascii="微软雅黑" w:hAnsi="微软雅黑" w:eastAsia="微软雅黑"/>
              </w:rPr>
              <w:t>采购管理部</w:t>
            </w:r>
          </w:p>
        </w:tc>
      </w:tr>
      <w:tr w14:paraId="4A0E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</w:tcPr>
          <w:p w14:paraId="3F6A8388">
            <w:r>
              <w:rPr>
                <w:rFonts w:ascii="微软雅黑" w:hAnsi="微软雅黑" w:eastAsia="微软雅黑"/>
                <w:b/>
              </w:rPr>
              <w:t>联系电话</w:t>
            </w:r>
          </w:p>
        </w:tc>
        <w:tc>
          <w:tcPr>
            <w:tcW w:w="2500" w:type="pct"/>
          </w:tcPr>
          <w:p w14:paraId="20BBDD53"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0799-7525666</w:t>
            </w:r>
          </w:p>
        </w:tc>
      </w:tr>
    </w:tbl>
    <w:p w14:paraId="6E5C4A27">
      <w:pPr>
        <w:spacing w:after="40"/>
      </w:pPr>
    </w:p>
    <w:p w14:paraId="6C21D562">
      <w:pPr>
        <w:spacing w:before="40" w:after="120"/>
      </w:pPr>
      <w:r>
        <w:rPr>
          <w:rFonts w:ascii="微软雅黑" w:hAnsi="微软雅黑" w:eastAsia="微软雅黑"/>
          <w:color w:val="808080"/>
          <w:sz w:val="19"/>
        </w:rPr>
        <w:t>如对本披露信息有疑问或建议，可通过上述方式联系本公司。</w:t>
      </w:r>
    </w:p>
    <w:p w14:paraId="3F780B63">
      <w:pPr>
        <w:spacing w:before="40" w:after="120"/>
      </w:pPr>
      <w:r>
        <w:rPr>
          <w:rFonts w:ascii="微软雅黑" w:hAnsi="微软雅黑" w:eastAsia="微软雅黑"/>
          <w:color w:val="808080"/>
          <w:sz w:val="19"/>
        </w:rPr>
        <w:t>免责声明：本披露信息基于公司当前管理制度与2025年度考核数据编制，仅供信息披露与参考之用。如管理制度或数据口径调整，以公司最新发布版本为准。</w:t>
      </w:r>
    </w:p>
    <w:sectPr>
      <w:pgSz w:w="12240" w:h="15840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4C73EBF"/>
    <w:rsid w:val="74E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716</Words>
  <Characters>764</Characters>
  <Lines>0</Lines>
  <Paragraphs>0</Paragraphs>
  <TotalTime>0</TotalTime>
  <ScaleCrop>false</ScaleCrop>
  <LinksUpToDate>false</LinksUpToDate>
  <CharactersWithSpaces>777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zstar</cp:lastModifiedBy>
  <dcterms:modified xsi:type="dcterms:W3CDTF">2026-08-28T00:52:27Z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eyJoZGlkIjoiMzE3YTg2NWQ4NWIxOWU2NmViYWJkYTdhNDU3ODM4NWEiLCJ1c2VySWQiOiIzMzc1NDM0OTEifQ==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269168CC5E824111993035EAFF03B2E1_12</vt:lpwstr>
  </property>
</Properties>
</file>