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32EA4">
      <w:pPr>
        <w:pStyle w:val="5"/>
        <w:spacing w:after="120"/>
        <w:jc w:val="center"/>
        <w:rPr>
          <w:rFonts w:hint="eastAsia"/>
        </w:rPr>
      </w:pPr>
      <w:bookmarkStart w:id="0" w:name="_GoBack"/>
      <w:bookmarkEnd w:id="0"/>
      <w:r>
        <w:rPr>
          <w:rFonts w:hint="eastAsia" w:ascii="微软雅黑" w:hAnsi="微软雅黑" w:eastAsia="微软雅黑" w:cs="微软雅黑"/>
          <w:b/>
          <w:color w:val="1F3864"/>
          <w:sz w:val="44"/>
        </w:rPr>
        <w:t>2025年度供应商节能减排信息披露</w:t>
      </w:r>
    </w:p>
    <w:p w14:paraId="17AB6DF7">
      <w:pPr>
        <w:rPr>
          <w:rFonts w:hint="eastAsia"/>
        </w:rPr>
      </w:pPr>
    </w:p>
    <w:p w14:paraId="4E0DE80F">
      <w:pPr>
        <w:pStyle w:val="4"/>
        <w:spacing w:after="200"/>
        <w:jc w:val="center"/>
        <w:rPr>
          <w:rFonts w:hint="eastAsia"/>
        </w:rPr>
      </w:pPr>
      <w:r>
        <w:rPr>
          <w:rFonts w:hint="eastAsia" w:ascii="微软雅黑" w:hAnsi="微软雅黑" w:eastAsia="微软雅黑" w:cs="微软雅黑"/>
          <w:color w:val="595959"/>
          <w:sz w:val="24"/>
        </w:rPr>
        <w:t>践行绿色采购 共筑低碳链条——江西爱瑞达电瓷电气有限公司2025年度供应商节能减排实践报告</w:t>
      </w:r>
    </w:p>
    <w:p w14:paraId="1005A263">
      <w:pPr>
        <w:rPr>
          <w:rFonts w:hint="eastAsia"/>
        </w:rPr>
      </w:pPr>
    </w:p>
    <w:p w14:paraId="59AA5C15">
      <w:pPr>
        <w:spacing w:after="60" w:line="360" w:lineRule="auto"/>
        <w:ind w:firstLineChars="200"/>
        <w:jc w:val="both"/>
        <w:rPr>
          <w:rFonts w:hint="eastAsia"/>
        </w:rPr>
      </w:pPr>
      <w:r>
        <w:rPr>
          <w:rFonts w:hint="eastAsia" w:ascii="仿宋" w:hAnsi="仿宋" w:eastAsia="仿宋" w:cs="仿宋"/>
          <w:b w:val="0"/>
          <w:sz w:val="28"/>
        </w:rPr>
        <w:t>在全球气候治理与我国“双碳”目标纵深推进的大背景下，绿色低碳已成为制造业高质量发展的必由之路。江西爱瑞达电瓷电气有限公司（以下简称“公司”）始终秉持“绿色引领、链动未来”的发展理念，将节能减排融入供应链管理全流程，积极构建环境友好、资源节约、低碳高效的绿色供应链体系。现将2025年度供应商节能减排工作披露如下。</w:t>
      </w:r>
    </w:p>
    <w:p w14:paraId="5AF7444E">
      <w:pPr>
        <w:rPr>
          <w:rFonts w:hint="eastAsia"/>
        </w:rPr>
      </w:pPr>
    </w:p>
    <w:p w14:paraId="1EECF2F1">
      <w:pPr>
        <w:pStyle w:val="2"/>
        <w:spacing w:before="240" w:after="120"/>
        <w:rPr>
          <w:rFonts w:hint="eastAsia"/>
        </w:rPr>
      </w:pPr>
      <w:r>
        <w:rPr>
          <w:rFonts w:hint="eastAsia" w:ascii="微软雅黑" w:hAnsi="微软雅黑" w:eastAsia="微软雅黑" w:cs="微软雅黑"/>
          <w:color w:val="2E5496"/>
          <w:sz w:val="32"/>
        </w:rPr>
        <w:t>一、绿色供应商管理机制</w:t>
      </w:r>
    </w:p>
    <w:p w14:paraId="48001596">
      <w:pPr>
        <w:rPr>
          <w:rFonts w:hint="eastAsia"/>
        </w:rPr>
      </w:pPr>
    </w:p>
    <w:p w14:paraId="05EA16AB">
      <w:pPr>
        <w:spacing w:after="60" w:line="360" w:lineRule="auto"/>
        <w:ind w:firstLineChars="200"/>
        <w:jc w:val="both"/>
        <w:rPr>
          <w:rFonts w:hint="eastAsia"/>
        </w:rPr>
      </w:pPr>
      <w:r>
        <w:rPr>
          <w:rFonts w:hint="eastAsia" w:ascii="仿宋" w:hAnsi="仿宋" w:eastAsia="仿宋" w:cs="仿宋"/>
          <w:b w:val="0"/>
          <w:sz w:val="28"/>
        </w:rPr>
        <w:t>公司严格按照《采购管理手册》《绿色采购制度》等内部程序文件，建立了覆盖供应商准入、评价、考核、退出的全生命周期绿色管理机制。评价体系涵盖供应商环境绩效、能源利用效率、污染物排放控制及所提供产品的碳足迹等维度，引导供应商持续提升绿色制造水平。</w:t>
      </w:r>
    </w:p>
    <w:p w14:paraId="1005DFCF">
      <w:pPr>
        <w:rPr>
          <w:rFonts w:hint="eastAsia"/>
        </w:rPr>
      </w:pPr>
    </w:p>
    <w:p w14:paraId="472A8331">
      <w:pPr>
        <w:spacing w:after="60" w:line="360" w:lineRule="auto"/>
        <w:ind w:firstLineChars="200"/>
        <w:jc w:val="both"/>
        <w:rPr>
          <w:rFonts w:hint="eastAsia"/>
        </w:rPr>
      </w:pPr>
      <w:r>
        <w:rPr>
          <w:rFonts w:hint="eastAsia" w:ascii="仿宋" w:hAnsi="仿宋" w:eastAsia="仿宋" w:cs="仿宋"/>
          <w:b w:val="0"/>
          <w:sz w:val="28"/>
        </w:rPr>
        <w:t>2025年度，与公司有直接供应关系的合作供应商共123家，全部参与年度绿色绩效考评。经综合评价，5家供应商评分在90—99分之间，118家评分为100分，低风险供应商占比达100%。公司纳入可合作的供应商共1000余家，其中超过99%为中国本地供应商，有效缩短了原材料及零部件运输半径，从源头降低了全链条物流碳排放。</w:t>
      </w:r>
    </w:p>
    <w:p w14:paraId="7F47BB8C">
      <w:pPr>
        <w:rPr>
          <w:rFonts w:hint="eastAsia"/>
        </w:rPr>
      </w:pPr>
    </w:p>
    <w:p w14:paraId="3E8487C8">
      <w:pPr>
        <w:pStyle w:val="2"/>
        <w:spacing w:before="240" w:after="120"/>
        <w:rPr>
          <w:rFonts w:hint="eastAsia"/>
        </w:rPr>
      </w:pPr>
      <w:r>
        <w:rPr>
          <w:rFonts w:hint="eastAsia" w:ascii="微软雅黑" w:hAnsi="微软雅黑" w:eastAsia="微软雅黑" w:cs="微软雅黑"/>
          <w:color w:val="2E5496"/>
          <w:sz w:val="32"/>
        </w:rPr>
        <w:t>二、供应商节能减排实践</w:t>
      </w:r>
    </w:p>
    <w:p w14:paraId="08B94074">
      <w:pPr>
        <w:rPr>
          <w:rFonts w:hint="eastAsia"/>
        </w:rPr>
      </w:pPr>
    </w:p>
    <w:p w14:paraId="5CBEE3DE">
      <w:pPr>
        <w:spacing w:after="60" w:line="360" w:lineRule="auto"/>
        <w:ind w:firstLineChars="200"/>
        <w:jc w:val="both"/>
        <w:rPr>
          <w:rFonts w:hint="eastAsia"/>
        </w:rPr>
      </w:pPr>
      <w:r>
        <w:rPr>
          <w:rFonts w:hint="eastAsia" w:ascii="仿宋" w:hAnsi="仿宋" w:eastAsia="仿宋" w:cs="仿宋"/>
          <w:b w:val="0"/>
          <w:sz w:val="28"/>
        </w:rPr>
        <w:t>2025年度，多家供应商积极响应国家“双碳”战略，围绕生产线升级改造、智能化转型、清洁能源应用、污染防治设施完善等维度开展节能技改与清洁生产，取得了切实成效。主要实践包括：</w:t>
      </w:r>
    </w:p>
    <w:p w14:paraId="3DC45174">
      <w:pPr>
        <w:rPr>
          <w:rFonts w:hint="eastAsia"/>
        </w:rPr>
      </w:pPr>
    </w:p>
    <w:p w14:paraId="6D60B4E3">
      <w:pPr>
        <w:pStyle w:val="3"/>
        <w:spacing w:before="160" w:after="80"/>
        <w:rPr>
          <w:rFonts w:hint="eastAsia"/>
        </w:rPr>
      </w:pPr>
      <w:r>
        <w:rPr>
          <w:rFonts w:hint="eastAsia" w:ascii="微软雅黑" w:hAnsi="微软雅黑" w:eastAsia="微软雅黑" w:cs="微软雅黑"/>
          <w:color w:val="2E5496"/>
          <w:sz w:val="28"/>
        </w:rPr>
        <w:t>（一）生产线升级改造与能效提升</w:t>
      </w:r>
    </w:p>
    <w:p w14:paraId="102B8988">
      <w:pPr>
        <w:rPr>
          <w:rFonts w:hint="eastAsia"/>
        </w:rPr>
      </w:pPr>
    </w:p>
    <w:p w14:paraId="2A6956A0">
      <w:pPr>
        <w:spacing w:after="60" w:line="360" w:lineRule="auto"/>
        <w:ind w:firstLineChars="200"/>
        <w:jc w:val="both"/>
        <w:rPr>
          <w:rFonts w:hint="eastAsia"/>
        </w:rPr>
      </w:pPr>
      <w:r>
        <w:rPr>
          <w:rFonts w:hint="eastAsia" w:ascii="仿宋" w:hAnsi="仿宋" w:eastAsia="仿宋" w:cs="仿宋"/>
          <w:b/>
          <w:sz w:val="28"/>
        </w:rPr>
        <w:t>山西华电新海电气有限公司</w:t>
      </w:r>
      <w:r>
        <w:rPr>
          <w:rFonts w:hint="eastAsia" w:ascii="仿宋" w:hAnsi="仿宋" w:eastAsia="仿宋" w:cs="仿宋"/>
          <w:b w:val="0"/>
          <w:sz w:val="28"/>
        </w:rPr>
        <w:t>作为公司钢帽产品的主要供应商，2025年度实施年产10000吨电力金具自动化生产线铸造技术改造项目。项目主要建设内容包括购置自动化水平生产线、垂直生产线、自动化混砂线、电热镀锌炉、覆膜砂生产线等生产及配套环保设施，并对厂区原有环保设施进行升级改造。项目环保投资达317万元，在综合整治过程中完善了各项污染防治设施，确保污染物排放总量控制在批复指标范围内。该项目同时拆除现有冲天炉，将所有产尘工序设置在封闭车间内并设置二次除尘装置，中频电炉配套集气设施与脉冲布袋除尘器，热镀锌工序使用清洁能源天然气并配套低氮燃烧器。</w:t>
      </w:r>
    </w:p>
    <w:p w14:paraId="1671329B">
      <w:pPr>
        <w:rPr>
          <w:rFonts w:hint="eastAsia"/>
        </w:rPr>
      </w:pPr>
    </w:p>
    <w:p w14:paraId="2CB39A94">
      <w:pPr>
        <w:spacing w:after="60" w:line="360" w:lineRule="auto"/>
        <w:ind w:firstLineChars="200"/>
        <w:jc w:val="both"/>
        <w:rPr>
          <w:rFonts w:hint="eastAsia"/>
        </w:rPr>
      </w:pPr>
      <w:r>
        <w:rPr>
          <w:rFonts w:hint="eastAsia" w:ascii="仿宋" w:hAnsi="仿宋" w:eastAsia="仿宋" w:cs="仿宋"/>
          <w:b/>
          <w:sz w:val="28"/>
        </w:rPr>
        <w:t>萍乡富一博机械有限公司</w:t>
      </w:r>
      <w:r>
        <w:rPr>
          <w:rFonts w:hint="eastAsia" w:ascii="仿宋" w:hAnsi="仿宋" w:eastAsia="仿宋" w:cs="仿宋"/>
          <w:b w:val="0"/>
          <w:sz w:val="28"/>
        </w:rPr>
        <w:t>作为公司钢脚产品的主要供应商，2025年度启动电瓷附件生产线升级改造项目，投资金额达13650—16500万元。公司新建自动化生产线，全面投产后可实现年产值1.8亿元，产品广泛应用于新能源装备材料、轨道交通构件等领域。</w:t>
      </w:r>
    </w:p>
    <w:p w14:paraId="6496D32F">
      <w:pPr>
        <w:rPr>
          <w:rFonts w:hint="eastAsia"/>
        </w:rPr>
      </w:pPr>
    </w:p>
    <w:p w14:paraId="3008032D">
      <w:pPr>
        <w:spacing w:after="60" w:line="360" w:lineRule="auto"/>
        <w:ind w:firstLineChars="200"/>
        <w:jc w:val="both"/>
        <w:rPr>
          <w:rFonts w:hint="eastAsia"/>
        </w:rPr>
      </w:pPr>
      <w:r>
        <w:rPr>
          <w:rFonts w:hint="eastAsia" w:ascii="仿宋" w:hAnsi="仿宋" w:eastAsia="仿宋" w:cs="仿宋"/>
          <w:b/>
          <w:sz w:val="28"/>
        </w:rPr>
        <w:t>山西宏坊电力金属制造有限公司</w:t>
      </w:r>
      <w:r>
        <w:rPr>
          <w:rFonts w:hint="eastAsia" w:ascii="仿宋" w:hAnsi="仿宋" w:eastAsia="仿宋" w:cs="仿宋"/>
          <w:b w:val="0"/>
          <w:sz w:val="28"/>
        </w:rPr>
        <w:t>作为公司钢帽产品的供应商，积极推进扩建电力金具低压铸造热镀锌炉及自动化生产线铸造技术改造项目。公司取得“一种原料处理用熔炼炉废气处理装置”专利，有效避免了因废气温度过高导致过滤装置高温烫伤损坏的问题。</w:t>
      </w:r>
    </w:p>
    <w:p w14:paraId="175E0D63">
      <w:pPr>
        <w:rPr>
          <w:rFonts w:hint="eastAsia"/>
        </w:rPr>
      </w:pPr>
    </w:p>
    <w:p w14:paraId="048F7256">
      <w:pPr>
        <w:pStyle w:val="3"/>
        <w:spacing w:before="160" w:after="80"/>
        <w:rPr>
          <w:rFonts w:hint="eastAsia"/>
        </w:rPr>
      </w:pPr>
      <w:r>
        <w:rPr>
          <w:rFonts w:hint="eastAsia" w:ascii="微软雅黑" w:hAnsi="微软雅黑" w:eastAsia="微软雅黑" w:cs="微软雅黑"/>
          <w:color w:val="2E5496"/>
          <w:sz w:val="28"/>
        </w:rPr>
        <w:t>（二）智能化转型与清洁生产</w:t>
      </w:r>
    </w:p>
    <w:p w14:paraId="056ADE26">
      <w:pPr>
        <w:rPr>
          <w:rFonts w:hint="eastAsia"/>
        </w:rPr>
      </w:pPr>
    </w:p>
    <w:p w14:paraId="600C5EF9">
      <w:pPr>
        <w:spacing w:after="60" w:line="360" w:lineRule="auto"/>
        <w:ind w:firstLineChars="200"/>
        <w:jc w:val="both"/>
        <w:rPr>
          <w:rFonts w:hint="eastAsia"/>
        </w:rPr>
      </w:pPr>
      <w:r>
        <w:rPr>
          <w:rFonts w:hint="eastAsia" w:ascii="仿宋" w:hAnsi="仿宋" w:eastAsia="仿宋" w:cs="仿宋"/>
          <w:b/>
          <w:sz w:val="28"/>
        </w:rPr>
        <w:t>江西强新电力科技有限公司</w:t>
      </w:r>
      <w:r>
        <w:rPr>
          <w:rFonts w:hint="eastAsia" w:ascii="仿宋" w:hAnsi="仿宋" w:eastAsia="仿宋" w:cs="仿宋"/>
          <w:b w:val="0"/>
          <w:sz w:val="28"/>
        </w:rPr>
        <w:t>作为公司锁紧销产品的供应商，2025年度扩产项目新增自动化智能生产线6条，建设全自动控温节能窑炉8座，配套各类自动化设备，并引入MES系统，实现生产全流程智能实时管控。</w:t>
      </w:r>
    </w:p>
    <w:p w14:paraId="16E68FED">
      <w:pPr>
        <w:rPr>
          <w:rFonts w:hint="eastAsia"/>
        </w:rPr>
      </w:pPr>
    </w:p>
    <w:p w14:paraId="7B5EA25F">
      <w:pPr>
        <w:spacing w:after="60" w:line="360" w:lineRule="auto"/>
        <w:ind w:firstLineChars="200"/>
        <w:jc w:val="both"/>
        <w:rPr>
          <w:rFonts w:hint="eastAsia"/>
        </w:rPr>
      </w:pPr>
      <w:r>
        <w:rPr>
          <w:rFonts w:hint="eastAsia" w:ascii="仿宋" w:hAnsi="仿宋" w:eastAsia="仿宋" w:cs="仿宋"/>
          <w:b/>
          <w:sz w:val="28"/>
        </w:rPr>
        <w:t>萍乡利恒电力电气有限公司</w:t>
      </w:r>
      <w:r>
        <w:rPr>
          <w:rFonts w:hint="eastAsia" w:ascii="仿宋" w:hAnsi="仿宋" w:eastAsia="仿宋" w:cs="仿宋"/>
          <w:b w:val="0"/>
          <w:sz w:val="28"/>
        </w:rPr>
        <w:t>作为公司钢帽、钢脚产品的主要供应商，2025年度推进年产8000吨电瓷附件生产线建设项目。焊接烟气采用密闭车间配套静电除尘器进行处理，有效减少了生产过程中的大气污染物排放。</w:t>
      </w:r>
    </w:p>
    <w:p w14:paraId="6ED57E3D">
      <w:pPr>
        <w:rPr>
          <w:rFonts w:hint="eastAsia"/>
        </w:rPr>
      </w:pPr>
    </w:p>
    <w:p w14:paraId="663AD58D">
      <w:pPr>
        <w:spacing w:after="60" w:line="360" w:lineRule="auto"/>
        <w:ind w:firstLineChars="200"/>
        <w:jc w:val="both"/>
        <w:rPr>
          <w:rFonts w:hint="eastAsia"/>
        </w:rPr>
      </w:pPr>
      <w:r>
        <w:rPr>
          <w:rFonts w:hint="eastAsia" w:ascii="仿宋" w:hAnsi="仿宋" w:eastAsia="仿宋" w:cs="仿宋"/>
          <w:b/>
          <w:sz w:val="28"/>
        </w:rPr>
        <w:t>湖南中联陶瓷机械有限公司</w:t>
      </w:r>
      <w:r>
        <w:rPr>
          <w:rFonts w:hint="eastAsia" w:ascii="仿宋" w:hAnsi="仿宋" w:eastAsia="仿宋" w:cs="仿宋"/>
          <w:b w:val="0"/>
          <w:sz w:val="28"/>
        </w:rPr>
        <w:t>作为公司练泥机等核心设备的供应商，2025年度投入数百万元攻克技术难题，成功研制全球最大规格的真空练泥机。该设备助力中国电瓷行业生产超大型电瓷套管，服务于1000千伏清洁能源输变电线路。公司同步推动传统制造向智能制造转型，实现车床、铣床智能化升级，在大型球磨机等主力产品中运用变频器与触摸屏实现数字化控制，能耗较传统模式节约超30%。</w:t>
      </w:r>
    </w:p>
    <w:p w14:paraId="159CAC00">
      <w:pPr>
        <w:rPr>
          <w:rFonts w:hint="eastAsia"/>
        </w:rPr>
      </w:pPr>
    </w:p>
    <w:p w14:paraId="71E940A0">
      <w:pPr>
        <w:spacing w:after="60" w:line="360" w:lineRule="auto"/>
        <w:ind w:firstLineChars="200"/>
        <w:jc w:val="both"/>
        <w:rPr>
          <w:rFonts w:hint="eastAsia"/>
        </w:rPr>
      </w:pPr>
      <w:r>
        <w:rPr>
          <w:rFonts w:hint="eastAsia" w:ascii="仿宋" w:hAnsi="仿宋" w:eastAsia="仿宋" w:cs="仿宋"/>
          <w:b/>
          <w:sz w:val="28"/>
        </w:rPr>
        <w:t>福州市闽清县诚辉自动化设备有限公司</w:t>
      </w:r>
      <w:r>
        <w:rPr>
          <w:rFonts w:hint="eastAsia" w:ascii="仿宋" w:hAnsi="仿宋" w:eastAsia="仿宋" w:cs="仿宋"/>
          <w:b w:val="0"/>
          <w:sz w:val="28"/>
        </w:rPr>
        <w:t>作为公司自动成型生产线及自动上釉生产线的设备供应商，积极推动铸造机械与陶瓷生产专用设备的绿色化升级，相关设备帮助下游客户提升生产效率、降低能耗。</w:t>
      </w:r>
    </w:p>
    <w:p w14:paraId="22742CAF">
      <w:pPr>
        <w:rPr>
          <w:rFonts w:hint="eastAsia"/>
        </w:rPr>
      </w:pPr>
    </w:p>
    <w:p w14:paraId="298C2289">
      <w:pPr>
        <w:spacing w:after="60" w:line="360" w:lineRule="auto"/>
        <w:ind w:firstLineChars="200"/>
        <w:jc w:val="both"/>
        <w:rPr>
          <w:rFonts w:hint="eastAsia"/>
        </w:rPr>
      </w:pPr>
      <w:r>
        <w:rPr>
          <w:rFonts w:hint="eastAsia" w:ascii="仿宋" w:hAnsi="仿宋" w:eastAsia="仿宋" w:cs="仿宋"/>
          <w:b/>
          <w:sz w:val="28"/>
        </w:rPr>
        <w:t>萍乡市达众金属制品有限公司</w:t>
      </w:r>
      <w:r>
        <w:rPr>
          <w:rFonts w:hint="eastAsia" w:ascii="仿宋" w:hAnsi="仿宋" w:eastAsia="仿宋" w:cs="仿宋"/>
          <w:b w:val="0"/>
          <w:sz w:val="28"/>
        </w:rPr>
        <w:t>、</w:t>
      </w:r>
      <w:r>
        <w:rPr>
          <w:rFonts w:hint="eastAsia" w:ascii="仿宋" w:hAnsi="仿宋" w:eastAsia="仿宋" w:cs="仿宋"/>
          <w:b/>
          <w:sz w:val="28"/>
        </w:rPr>
        <w:t>江西宸光金属制品有限公司</w:t>
      </w:r>
      <w:r>
        <w:rPr>
          <w:rFonts w:hint="eastAsia" w:ascii="仿宋" w:hAnsi="仿宋" w:eastAsia="仿宋" w:cs="仿宋"/>
          <w:b w:val="0"/>
          <w:sz w:val="28"/>
        </w:rPr>
        <w:t>、</w:t>
      </w:r>
      <w:r>
        <w:rPr>
          <w:rFonts w:hint="eastAsia" w:ascii="仿宋" w:hAnsi="仿宋" w:eastAsia="仿宋" w:cs="仿宋"/>
          <w:b/>
          <w:sz w:val="28"/>
        </w:rPr>
        <w:t>芦溪县云扬附件金属制品有限公司</w:t>
      </w:r>
      <w:r>
        <w:rPr>
          <w:rFonts w:hint="eastAsia" w:ascii="仿宋" w:hAnsi="仿宋" w:eastAsia="仿宋" w:cs="仿宋"/>
          <w:b w:val="0"/>
          <w:sz w:val="28"/>
        </w:rPr>
        <w:t>等附件供应商在金属材料制造与加工环节积极采用清洁生产工艺，优化生产流程，减少污染物排放。</w:t>
      </w:r>
    </w:p>
    <w:p w14:paraId="18858223">
      <w:pPr>
        <w:rPr>
          <w:rFonts w:hint="eastAsia"/>
        </w:rPr>
      </w:pPr>
    </w:p>
    <w:p w14:paraId="666A5EED">
      <w:pPr>
        <w:pStyle w:val="3"/>
        <w:spacing w:before="160" w:after="80"/>
        <w:rPr>
          <w:rFonts w:hint="eastAsia"/>
        </w:rPr>
      </w:pPr>
      <w:r>
        <w:rPr>
          <w:rFonts w:hint="eastAsia" w:ascii="微软雅黑" w:hAnsi="微软雅黑" w:eastAsia="微软雅黑" w:cs="微软雅黑"/>
          <w:color w:val="2E5496"/>
          <w:sz w:val="28"/>
        </w:rPr>
        <w:t>（三）产业集群整体能效提升</w:t>
      </w:r>
    </w:p>
    <w:p w14:paraId="28633868">
      <w:pPr>
        <w:rPr>
          <w:rFonts w:hint="eastAsia"/>
        </w:rPr>
      </w:pPr>
    </w:p>
    <w:p w14:paraId="3C46C93A">
      <w:pPr>
        <w:spacing w:after="60" w:line="360" w:lineRule="auto"/>
        <w:ind w:firstLineChars="200"/>
        <w:jc w:val="both"/>
        <w:rPr>
          <w:rFonts w:hint="eastAsia"/>
        </w:rPr>
      </w:pPr>
      <w:r>
        <w:rPr>
          <w:rFonts w:hint="eastAsia" w:ascii="仿宋" w:hAnsi="仿宋" w:eastAsia="仿宋" w:cs="仿宋"/>
          <w:b w:val="0"/>
          <w:sz w:val="28"/>
        </w:rPr>
        <w:t>在电瓷产业集群层面，公司所在芦溪县全面推进电瓷产业转型升级。芦溪县启动电瓷产业集群整体能效提升改造项目，推动生产工艺从低效、污染向高效、环保转变，采用先进适用节能低碳环保技术改造提升电瓷产业。10家企业淘汰277台老旧设备，更换高效窑炉和智能旋坯机等设备56台套，预计年节能577吨标准煤，企业生产效率提高50%以上，综合能耗下降约23%。其中，芦溪县金誉电瓷附件有限公司等供应商通过设备更新，年节能可达56.03吨标准煤。</w:t>
      </w:r>
    </w:p>
    <w:p w14:paraId="46BD905D">
      <w:pPr>
        <w:rPr>
          <w:rFonts w:hint="eastAsia"/>
        </w:rPr>
      </w:pPr>
    </w:p>
    <w:p w14:paraId="5D731A93">
      <w:pPr>
        <w:pStyle w:val="2"/>
        <w:spacing w:before="240" w:after="120"/>
        <w:rPr>
          <w:rFonts w:hint="eastAsia"/>
        </w:rPr>
      </w:pPr>
      <w:r>
        <w:rPr>
          <w:rFonts w:hint="eastAsia" w:ascii="微软雅黑" w:hAnsi="微软雅黑" w:eastAsia="微软雅黑" w:cs="微软雅黑"/>
          <w:color w:val="2E5496"/>
          <w:sz w:val="32"/>
        </w:rPr>
        <w:t>三、持续改进承诺</w:t>
      </w:r>
    </w:p>
    <w:p w14:paraId="2DA9A81B">
      <w:pPr>
        <w:rPr>
          <w:rFonts w:hint="eastAsia"/>
        </w:rPr>
      </w:pPr>
    </w:p>
    <w:p w14:paraId="5018F837">
      <w:pPr>
        <w:spacing w:after="60" w:line="360" w:lineRule="auto"/>
        <w:ind w:firstLineChars="200"/>
        <w:jc w:val="both"/>
        <w:rPr>
          <w:rFonts w:hint="eastAsia"/>
        </w:rPr>
      </w:pPr>
      <w:r>
        <w:rPr>
          <w:rFonts w:hint="eastAsia" w:ascii="仿宋" w:hAnsi="仿宋" w:eastAsia="仿宋" w:cs="仿宋"/>
          <w:b w:val="0"/>
          <w:sz w:val="28"/>
        </w:rPr>
        <w:t>绿色供应链建设是一项长期性、系统性工程。未来，公司将持续深化绿色采购制度，逐步将供应商碳排放数据披露、清洁能源使用比例、单位产值能耗等指标纳入年度考核体系，推动供应商开展产品碳足迹核算与认证。公司将继续通过供应商大会、技术交流与培训等渠道，向供应链伙伴分享节能降碳技术与绿色管理经验，引导更多供应商开展节能诊断与清洁生产审核。</w:t>
      </w:r>
    </w:p>
    <w:p w14:paraId="3A3C5153">
      <w:pPr>
        <w:rPr>
          <w:rFonts w:hint="eastAsia"/>
        </w:rPr>
      </w:pPr>
    </w:p>
    <w:p w14:paraId="43C6A750">
      <w:pPr>
        <w:spacing w:after="60" w:line="360" w:lineRule="auto"/>
        <w:ind w:firstLineChars="200"/>
        <w:jc w:val="both"/>
      </w:pPr>
      <w:r>
        <w:rPr>
          <w:rFonts w:hint="eastAsia" w:ascii="仿宋" w:hAnsi="仿宋" w:eastAsia="仿宋" w:cs="仿宋"/>
          <w:b w:val="0"/>
          <w:sz w:val="28"/>
        </w:rPr>
        <w:t>公司将坚定不移走生态优先、绿色低碳的高质量发展道路，与全体供应商伙伴携手，共同构建更具韧性、更可持续的绿色供应链，为国家实现碳达峰、碳中和目标贡献企业力量。</w:t>
      </w:r>
    </w:p>
    <w:p w14:paraId="70338D32">
      <w:pPr>
        <w:spacing w:before="240"/>
        <w:jc w:val="center"/>
        <w:rPr>
          <w:rFonts w:hint="eastAsia" w:ascii="仿宋" w:hAnsi="仿宋" w:eastAsia="仿宋" w:cs="仿宋"/>
          <w:b w:val="0"/>
          <w:sz w:val="28"/>
        </w:rPr>
      </w:pPr>
      <w:r>
        <w:rPr>
          <w:rFonts w:hint="eastAsia" w:ascii="仿宋" w:hAnsi="仿宋" w:eastAsia="仿宋" w:cs="仿宋"/>
          <w:b w:val="0"/>
          <w:i/>
          <w:color w:val="808080"/>
          <w:sz w:val="21"/>
        </w:rPr>
        <w:t>—— 本报告为江西爱瑞达电瓷电气有限公司2025年度供应商节能减排信息披露公开版本，供官网查阅 ——</w:t>
      </w:r>
    </w:p>
    <w:sectPr>
      <w:footerReference r:id="rId5" w:type="first"/>
      <w:footerReference r:id="rId3" w:type="default"/>
      <w:footerReference r:id="rId4" w:type="even"/>
      <w:pgSz w:w="11906" w:h="16838"/>
      <w:pgMar w:top="720" w:right="720" w:bottom="720" w:left="72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3958"/>
      <w:docPartObj>
        <w:docPartGallery w:val="AutoText"/>
      </w:docPartObj>
    </w:sdtPr>
    <w:sdtContent>
      <w:p w14:paraId="2B465C05">
        <w:pPr>
          <w:framePr w:wrap="auto" w:vAnchor="text" w:hAnchor="margin" w:xAlign="right" w:y="1"/>
        </w:pPr>
        <w:r>
          <w:fldChar w:fldCharType="begin"/>
        </w:r>
        <w:r>
          <w:instrText xml:space="preserve">PAGE</w:instrText>
        </w:r>
        <w:r>
          <w:fldChar w:fldCharType="separate"/>
        </w:r>
        <w:r>
          <w:t>1</w:t>
        </w:r>
        <w:r>
          <w:fldChar w:fldCharType="end"/>
        </w:r>
      </w:p>
    </w:sdtContent>
  </w:sdt>
  <w:p w14:paraId="0A059E6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0403"/>
      <w:docPartObj>
        <w:docPartGallery w:val="AutoText"/>
      </w:docPartObj>
    </w:sdtPr>
    <w:sdtContent>
      <w:p w14:paraId="14C6FF92">
        <w:pPr>
          <w:framePr w:wrap="auto" w:vAnchor="text" w:hAnchor="margin" w:xAlign="right" w:y="1"/>
        </w:pPr>
        <w:r>
          <w:fldChar w:fldCharType="begin"/>
        </w:r>
        <w:r>
          <w:instrText xml:space="preserve">PAGE</w:instrText>
        </w:r>
        <w:r>
          <w:fldChar w:fldCharType="separate"/>
        </w:r>
        <w:r>
          <w:t>1</w:t>
        </w:r>
        <w:r>
          <w:fldChar w:fldCharType="end"/>
        </w:r>
      </w:p>
    </w:sdtContent>
  </w:sdt>
  <w:p w14:paraId="7B5361F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6659"/>
      <w:docPartObj>
        <w:docPartGallery w:val="AutoText"/>
      </w:docPartObj>
    </w:sdtPr>
    <w:sdtContent>
      <w:p w14:paraId="00300C9E">
        <w:pPr>
          <w:framePr w:wrap="auto" w:vAnchor="text" w:hAnchor="margin" w:xAlign="right" w:y="1"/>
        </w:pPr>
        <w:r>
          <w:fldChar w:fldCharType="begin"/>
        </w:r>
        <w:r>
          <w:instrText xml:space="preserve">PAGE</w:instrText>
        </w:r>
        <w:r>
          <w:fldChar w:fldCharType="separate"/>
        </w:r>
        <w:r>
          <w:t>1</w:t>
        </w:r>
        <w:r>
          <w:fldChar w:fldCharType="end"/>
        </w:r>
      </w:p>
    </w:sdtContent>
  </w:sdt>
  <w:p w14:paraId="1EE38884"/>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B62CA"/>
    <w:rsid w:val="002A53AA"/>
    <w:rsid w:val="005C35DE"/>
    <w:rsid w:val="00626AA2"/>
    <w:rsid w:val="0068574D"/>
    <w:rsid w:val="006E696F"/>
    <w:rsid w:val="0071681D"/>
    <w:rsid w:val="007C7A70"/>
    <w:rsid w:val="00890FE1"/>
    <w:rsid w:val="0090731C"/>
    <w:rsid w:val="009E7FC9"/>
    <w:rsid w:val="00A85D95"/>
    <w:rsid w:val="00AB1D25"/>
    <w:rsid w:val="00AD3D80"/>
    <w:rsid w:val="00B727BA"/>
    <w:rsid w:val="00BE0D57"/>
    <w:rsid w:val="00F25947"/>
    <w:rsid w:val="00F50C8B"/>
    <w:rsid w:val="07011CC2"/>
    <w:rsid w:val="07644792"/>
    <w:rsid w:val="09284798"/>
    <w:rsid w:val="0F2B6FD9"/>
    <w:rsid w:val="183C240D"/>
    <w:rsid w:val="1AA24D9F"/>
    <w:rsid w:val="27FBD2E2"/>
    <w:rsid w:val="28DA2E89"/>
    <w:rsid w:val="2A4254F9"/>
    <w:rsid w:val="2D1F32F4"/>
    <w:rsid w:val="323B4D81"/>
    <w:rsid w:val="34B70380"/>
    <w:rsid w:val="3AE174A3"/>
    <w:rsid w:val="43446334"/>
    <w:rsid w:val="44A84E71"/>
    <w:rsid w:val="477DCE1E"/>
    <w:rsid w:val="573E1E21"/>
    <w:rsid w:val="5B487E91"/>
    <w:rsid w:val="5CF9550F"/>
    <w:rsid w:val="5EFEBDE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BFFBDBCA"/>
    <w:rsid w:val="D5DE8897"/>
    <w:rsid w:val="E7FE3684"/>
    <w:rsid w:val="E95E2A0D"/>
    <w:rsid w:val="EFFF70E4"/>
    <w:rsid w:val="F7EEC240"/>
    <w:rsid w:val="FBF75102"/>
    <w:rsid w:val="FDDC5620"/>
    <w:rsid w:val="FDEA700A"/>
    <w:rsid w:val="FFBFCE42"/>
    <w:rsid w:val="FFFF40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0" w:after="0" w:line="408" w:lineRule="auto"/>
      <w:outlineLvl w:val="0"/>
    </w:pPr>
    <w:rPr>
      <w:b/>
      <w:bCs/>
      <w:color w:val="1A1A1A"/>
      <w:sz w:val="36"/>
      <w:szCs w:val="36"/>
    </w:rPr>
  </w:style>
  <w:style w:type="paragraph" w:styleId="3">
    <w:name w:val="heading 2"/>
    <w:basedOn w:val="1"/>
    <w:next w:val="1"/>
    <w:qFormat/>
    <w:uiPriority w:val="9"/>
    <w:pPr>
      <w:keepNext/>
      <w:keepLines/>
      <w:spacing w:before="0" w:after="0" w:line="408" w:lineRule="auto"/>
      <w:outlineLvl w:val="1"/>
    </w:pPr>
    <w:rPr>
      <w:b/>
      <w:bCs/>
      <w:color w:val="1A1A1A"/>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Subtitle"/>
    <w:basedOn w:val="1"/>
    <w:next w:val="1"/>
    <w:qFormat/>
    <w:uiPriority w:val="9"/>
    <w:pPr>
      <w:keepNext/>
      <w:keepLines/>
      <w:spacing w:before="0" w:after="0" w:line="408" w:lineRule="auto"/>
      <w:jc w:val="center"/>
      <w:outlineLvl w:val="1"/>
    </w:pPr>
    <w:rPr>
      <w:b/>
      <w:bCs/>
      <w:color w:val="5C5C5C"/>
      <w:sz w:val="36"/>
      <w:szCs w:val="36"/>
    </w:rPr>
  </w:style>
  <w:style w:type="paragraph" w:styleId="5">
    <w:name w:val="Title"/>
    <w:basedOn w:val="1"/>
    <w:next w:val="1"/>
    <w:qFormat/>
    <w:uiPriority w:val="9"/>
    <w:pPr>
      <w:keepNext/>
      <w:keepLines/>
      <w:spacing w:before="0" w:after="0" w:line="408" w:lineRule="auto"/>
      <w:jc w:val="center"/>
      <w:outlineLvl w:val="0"/>
    </w:pPr>
    <w:rPr>
      <w:b/>
      <w:bCs/>
      <w:color w:val="1A1A1A"/>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2115</Words>
  <Characters>2204</Characters>
  <TotalTime>0</TotalTime>
  <ScaleCrop>false</ScaleCrop>
  <LinksUpToDate>false</LinksUpToDate>
  <CharactersWithSpaces>2207</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2026-08-27T13:30:00Z</dcterms:created>
  <dc:creator>Administrator</dc:creator>
  <cp:lastModifiedBy>zstar</cp:lastModifiedBy>
  <dcterms:modified xsi:type="dcterms:W3CDTF">2026-08-28T00:52:47Z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eyJoZGlkIjoiMzE3YTg2NWQ4NWIxOWU2NmViYWJkYTdhNDU3ODM4NWEiLCJ1c2VySWQiOiIzMzc1NDM0OTEifQ==</vt:lpwstr>
  </property>
  <property fmtid="{D5CDD505-2E9C-101B-9397-08002B2CF9AE}" pid="3" name="KSOProductBuildVer">
    <vt:lpwstr>2052-12.1.0.28505</vt:lpwstr>
  </property>
  <property fmtid="{D5CDD505-2E9C-101B-9397-08002B2CF9AE}" pid="4" name="ICV">
    <vt:lpwstr>54EEC98B038E482BAEB2A2EFF9BA4BB6_12</vt:lpwstr>
  </property>
</Properties>
</file>